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    </w:t>
      </w:r>
      <w:r w:rsidR="00F04F42">
        <w:rPr>
          <w:b/>
          <w:sz w:val="22"/>
          <w:szCs w:val="22"/>
        </w:rPr>
        <w:t>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B69A1">
        <w:rPr>
          <w:sz w:val="22"/>
          <w:szCs w:val="22"/>
          <w:u w:val="single"/>
        </w:rPr>
        <w:t xml:space="preserve"> </w:t>
      </w:r>
      <w:r w:rsidR="00541A83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7B69A1">
        <w:rPr>
          <w:sz w:val="22"/>
          <w:szCs w:val="22"/>
          <w:u w:val="single"/>
        </w:rPr>
        <w:t>января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B69A1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B69A1">
        <w:rPr>
          <w:b/>
        </w:rPr>
        <w:t>8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По противодействию коррупции на территории муниципального образования «Натырбовское сельское поселение»</w:t>
      </w:r>
      <w:r w:rsidRPr="00D376D5">
        <w:t xml:space="preserve"> за 201</w:t>
      </w:r>
      <w:r w:rsidR="007B69A1">
        <w:t>8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7B69A1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7B69A1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</w:t>
      </w:r>
      <w:r w:rsidR="007B69A1">
        <w:rPr>
          <w:rStyle w:val="a8"/>
        </w:rPr>
        <w:t>8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7B69A1">
        <w:t>50</w:t>
      </w:r>
      <w:r>
        <w:t xml:space="preserve"> от 2</w:t>
      </w:r>
      <w:r w:rsidR="007B69A1">
        <w:t>5</w:t>
      </w:r>
      <w:r>
        <w:t>.12.201</w:t>
      </w:r>
      <w:r w:rsidR="007B69A1">
        <w:t>7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</w:t>
            </w:r>
            <w:proofErr w:type="spellStart"/>
            <w:r>
              <w:rPr>
                <w:rStyle w:val="a8"/>
                <w:lang w:eastAsia="en-US"/>
              </w:rPr>
              <w:t>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</w:t>
            </w:r>
            <w:proofErr w:type="spellEnd"/>
            <w:r>
              <w:rPr>
                <w:rStyle w:val="a8"/>
                <w:lang w:eastAsia="en-US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</w:t>
            </w: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</w:t>
            </w: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</w:t>
      </w:r>
      <w:r w:rsidR="007B69A1">
        <w:rPr>
          <w:rStyle w:val="a8"/>
        </w:rPr>
        <w:t>8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3237"/>
        <w:gridCol w:w="1738"/>
        <w:gridCol w:w="2054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7"/>
        <w:gridCol w:w="30"/>
        <w:gridCol w:w="2234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Внесение изменений в действующие муниципальные нормативные правовые акты </w:t>
            </w:r>
            <w:r>
              <w:lastRenderedPageBreak/>
              <w:t>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7243AD">
            <w:pPr>
              <w:jc w:val="center"/>
            </w:pPr>
            <w:r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</w:t>
            </w:r>
            <w:r>
              <w:lastRenderedPageBreak/>
      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7243AD">
            <w:pPr>
              <w:jc w:val="center"/>
            </w:pPr>
            <w:r>
              <w:lastRenderedPageBreak/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</w:t>
            </w:r>
            <w:r>
              <w:lastRenderedPageBreak/>
              <w:t>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7243AD">
            <w:pPr>
              <w:jc w:val="center"/>
            </w:pPr>
            <w:r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</w:t>
            </w:r>
            <w:r>
              <w:lastRenderedPageBreak/>
              <w:t xml:space="preserve">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 xml:space="preserve">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>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lastRenderedPageBreak/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815975">
            <w:pPr>
              <w:jc w:val="center"/>
            </w:pPr>
            <w:r w:rsidRPr="00815975">
              <w:t>В течение  201</w:t>
            </w:r>
            <w:r w:rsidR="00815975">
              <w:t>8</w:t>
            </w:r>
            <w:r w:rsidRPr="00815975">
              <w:t>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648AB" w:rsidP="006D7DFA">
            <w:r>
              <w:t xml:space="preserve">Исполнено </w:t>
            </w:r>
            <w:bookmarkStart w:id="0" w:name="_GoBack"/>
            <w:bookmarkEnd w:id="0"/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815975">
            <w:r>
              <w:t xml:space="preserve">Проведено </w:t>
            </w:r>
            <w:r w:rsidR="00815975">
              <w:t>два</w:t>
            </w:r>
            <w:r>
              <w:t xml:space="preserve"> заседание комиссии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</w:t>
            </w:r>
            <w:r>
              <w:lastRenderedPageBreak/>
              <w:t>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 xml:space="preserve">Муниципальные </w:t>
            </w:r>
            <w:r>
              <w:lastRenderedPageBreak/>
              <w:t>служащие подарки не получали.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lastRenderedPageBreak/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 xml:space="preserve">Принимать меры по соблюдению лицами, замещающими муниципальные должности, </w:t>
            </w:r>
            <w:r>
              <w:lastRenderedPageBreak/>
              <w:t>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lastRenderedPageBreak/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Жалоб не поступало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552C51">
            <w:pPr>
              <w:jc w:val="center"/>
            </w:pPr>
            <w:r>
              <w:t xml:space="preserve"> 2018г.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Организовать изготовление, </w:t>
            </w:r>
            <w:r>
              <w:lastRenderedPageBreak/>
              <w:t>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:p w:rsidR="00552C51" w:rsidRDefault="00552C51" w:rsidP="00552C51">
            <w:pPr>
              <w:jc w:val="center"/>
            </w:pPr>
            <w:r>
              <w:lastRenderedPageBreak/>
              <w:t>2018г.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lastRenderedPageBreak/>
              <w:t xml:space="preserve">Заместитель главы </w:t>
            </w:r>
            <w:r>
              <w:lastRenderedPageBreak/>
              <w:t>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lastRenderedPageBreak/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73E3D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7367B9">
              <w:rPr>
                <w:color w:val="000000"/>
              </w:rPr>
              <w:lastRenderedPageBreak/>
              <w:t>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При поступлении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2648AB" w:rsidP="00BA3A14">
            <w:r>
              <w:t xml:space="preserve">Исполнено 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42A55"/>
    <w:rsid w:val="00651CE5"/>
    <w:rsid w:val="00657098"/>
    <w:rsid w:val="00657099"/>
    <w:rsid w:val="0066631F"/>
    <w:rsid w:val="00674F91"/>
    <w:rsid w:val="006C6F01"/>
    <w:rsid w:val="006D7DF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975"/>
    <w:rsid w:val="008203EA"/>
    <w:rsid w:val="008333F7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853A0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A131A"/>
    <w:rsid w:val="00BA3A14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37AE7"/>
    <w:rsid w:val="00F57E09"/>
    <w:rsid w:val="00FA34AA"/>
    <w:rsid w:val="00FC5DD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9AE6-A0ED-43C3-B27B-4A6C1195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2019-01-21T08:46:00Z</cp:lastPrinted>
  <dcterms:created xsi:type="dcterms:W3CDTF">2018-02-06T08:28:00Z</dcterms:created>
  <dcterms:modified xsi:type="dcterms:W3CDTF">2019-01-21T08:48:00Z</dcterms:modified>
</cp:coreProperties>
</file>