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75641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№2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DF4787">
              <w:rPr>
                <w:sz w:val="26"/>
                <w:szCs w:val="26"/>
                <w:lang w:eastAsia="ru-RU"/>
              </w:rPr>
              <w:t xml:space="preserve">21» </w:t>
            </w:r>
            <w:r w:rsidR="00FB4345">
              <w:rPr>
                <w:sz w:val="26"/>
                <w:szCs w:val="26"/>
                <w:lang w:eastAsia="ru-RU"/>
              </w:rPr>
              <w:t>мая</w:t>
            </w:r>
            <w:r w:rsidR="00DF4787">
              <w:rPr>
                <w:sz w:val="26"/>
                <w:szCs w:val="26"/>
                <w:lang w:eastAsia="ru-RU"/>
              </w:rPr>
              <w:t xml:space="preserve"> 2019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FB4345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DF4787">
              <w:rPr>
                <w:sz w:val="26"/>
                <w:szCs w:val="26"/>
                <w:lang w:eastAsia="ru-RU"/>
              </w:rPr>
              <w:t>05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FB4345">
              <w:rPr>
                <w:sz w:val="26"/>
                <w:szCs w:val="26"/>
                <w:lang w:eastAsia="ru-RU"/>
              </w:rPr>
              <w:t>июня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 w:rsidR="00DF4787">
              <w:rPr>
                <w:sz w:val="26"/>
                <w:szCs w:val="26"/>
                <w:lang w:eastAsia="ru-RU"/>
              </w:rPr>
              <w:t>19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FB4345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D854C3" w:rsidRPr="003F0D81" w:rsidRDefault="00FB4345" w:rsidP="00FB4345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</w:rPr>
              <w:t xml:space="preserve">Постановление № 66 </w:t>
            </w:r>
            <w:r w:rsidR="00DF4787">
              <w:rPr>
                <w:sz w:val="26"/>
                <w:szCs w:val="26"/>
              </w:rPr>
              <w:t xml:space="preserve">от </w:t>
            </w:r>
            <w:r w:rsidR="00DF4787" w:rsidRPr="005E2A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="00DF4787" w:rsidRPr="005E2A25">
              <w:rPr>
                <w:sz w:val="26"/>
                <w:szCs w:val="26"/>
              </w:rPr>
              <w:t xml:space="preserve">.11.2018 г. </w:t>
            </w:r>
            <w:r w:rsidR="00DF4787" w:rsidRPr="005E2A25">
              <w:rPr>
                <w:bCs/>
                <w:sz w:val="26"/>
                <w:szCs w:val="26"/>
                <w:lang w:eastAsia="ru-RU"/>
              </w:rPr>
              <w:t>«</w:t>
            </w:r>
            <w:r w:rsidR="00DF4787" w:rsidRPr="005E2A25">
              <w:rPr>
                <w:rFonts w:eastAsia="Lucida Sans Unicode"/>
                <w:kern w:val="1"/>
                <w:sz w:val="26"/>
                <w:szCs w:val="26"/>
                <w:lang w:eastAsia="zh-CN" w:bidi="hi-IN"/>
              </w:rPr>
      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      </w:r>
            <w:proofErr w:type="spellStart"/>
            <w:r>
              <w:rPr>
                <w:rFonts w:eastAsia="Lucida Sans Unicode"/>
                <w:kern w:val="1"/>
                <w:sz w:val="26"/>
                <w:szCs w:val="26"/>
                <w:lang w:eastAsia="zh-CN" w:bidi="hi-IN"/>
              </w:rPr>
              <w:t>Натырбовское</w:t>
            </w:r>
            <w:proofErr w:type="spellEnd"/>
            <w:r w:rsidR="00DF4787" w:rsidRPr="005E2A25">
              <w:rPr>
                <w:rFonts w:eastAsia="Lucida Sans Unicode"/>
                <w:kern w:val="1"/>
                <w:sz w:val="26"/>
                <w:szCs w:val="26"/>
                <w:lang w:eastAsia="zh-CN" w:bidi="hi-IN"/>
              </w:rPr>
      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1.3</w:t>
            </w:r>
            <w:r w:rsidR="00D854C3" w:rsidRPr="003F0D81">
              <w:rPr>
                <w:sz w:val="26"/>
                <w:szCs w:val="26"/>
                <w:lang w:eastAsia="ru-RU"/>
              </w:rPr>
              <w:t xml:space="preserve">. Контактная информация исполнителя </w:t>
            </w:r>
            <w:r>
              <w:rPr>
                <w:sz w:val="26"/>
                <w:szCs w:val="26"/>
                <w:lang w:eastAsia="ru-RU"/>
              </w:rPr>
              <w:t xml:space="preserve">уполномоченного </w:t>
            </w:r>
            <w:r w:rsidR="00D854C3"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r w:rsidR="00FB4345">
              <w:rPr>
                <w:sz w:val="26"/>
                <w:szCs w:val="26"/>
                <w:lang w:eastAsia="ru-RU"/>
              </w:rPr>
              <w:t>Молчанов Андрей Владимирович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FB4345">
              <w:rPr>
                <w:sz w:val="26"/>
                <w:szCs w:val="26"/>
                <w:lang w:eastAsia="ru-RU"/>
              </w:rPr>
              <w:t xml:space="preserve">главный </w:t>
            </w:r>
            <w:r>
              <w:rPr>
                <w:sz w:val="26"/>
                <w:szCs w:val="26"/>
                <w:lang w:eastAsia="ru-RU"/>
              </w:rPr>
              <w:t xml:space="preserve">специалист </w:t>
            </w:r>
            <w:bookmarkStart w:id="0" w:name="_GoBack"/>
            <w:bookmarkEnd w:id="0"/>
            <w:r w:rsidR="00FB4345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>дминистрации МО «</w:t>
            </w:r>
            <w:r w:rsidR="004E7DAB">
              <w:rPr>
                <w:sz w:val="26"/>
                <w:szCs w:val="26"/>
                <w:lang w:eastAsia="ru-RU"/>
              </w:rPr>
              <w:t>Натырбовское</w:t>
            </w:r>
            <w:r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</w:t>
            </w:r>
            <w:r w:rsidR="00FB4345">
              <w:rPr>
                <w:sz w:val="26"/>
                <w:szCs w:val="26"/>
                <w:lang w:eastAsia="ru-RU"/>
              </w:rPr>
              <w:t>61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FB4345">
              <w:rPr>
                <w:sz w:val="26"/>
                <w:szCs w:val="26"/>
                <w:lang w:eastAsia="ru-RU"/>
              </w:rPr>
              <w:t>593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FB4345">
              <w:rPr>
                <w:sz w:val="26"/>
                <w:szCs w:val="26"/>
                <w:lang w:eastAsia="ru-RU"/>
              </w:rPr>
              <w:t>121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FB4345">
              <w:rPr>
                <w:sz w:val="26"/>
                <w:szCs w:val="26"/>
                <w:lang w:eastAsia="ru-RU"/>
              </w:rPr>
              <w:t>19</w:t>
            </w:r>
          </w:p>
          <w:p w:rsidR="00A75641" w:rsidRPr="003F0D8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1.4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</w:t>
            </w:r>
            <w:r>
              <w:rPr>
                <w:sz w:val="26"/>
                <w:szCs w:val="26"/>
                <w:lang w:eastAsia="ru-RU"/>
              </w:rPr>
              <w:t xml:space="preserve">регулирующего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A7564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 w:rsidR="00FB4345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A7564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Телефон:</w:t>
            </w:r>
            <w:r>
              <w:rPr>
                <w:sz w:val="26"/>
                <w:szCs w:val="26"/>
                <w:lang w:eastAsia="ru-RU"/>
              </w:rPr>
              <w:t xml:space="preserve"> 9-</w:t>
            </w:r>
            <w:r w:rsidR="00FB4345">
              <w:rPr>
                <w:sz w:val="26"/>
                <w:szCs w:val="26"/>
                <w:lang w:eastAsia="ru-RU"/>
              </w:rPr>
              <w:t>76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FB4345">
              <w:rPr>
                <w:sz w:val="26"/>
                <w:szCs w:val="26"/>
                <w:lang w:eastAsia="ru-RU"/>
              </w:rPr>
              <w:t>69</w:t>
            </w:r>
          </w:p>
          <w:p w:rsidR="00D854C3" w:rsidRPr="003F0D81" w:rsidRDefault="00D854C3" w:rsidP="00FB434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FB4345">
              <w:rPr>
                <w:sz w:val="26"/>
                <w:szCs w:val="26"/>
                <w:lang w:val="en-US" w:eastAsia="ru-RU"/>
              </w:rPr>
              <w:t>adm</w:t>
            </w:r>
            <w:proofErr w:type="spellEnd"/>
            <w:r w:rsidR="00FB4345" w:rsidRPr="00FB4345">
              <w:rPr>
                <w:sz w:val="26"/>
                <w:szCs w:val="26"/>
                <w:lang w:eastAsia="ru-RU"/>
              </w:rPr>
              <w:t>751</w:t>
            </w:r>
            <w:r w:rsidRPr="00D854C3">
              <w:rPr>
                <w:sz w:val="26"/>
                <w:szCs w:val="26"/>
                <w:lang w:eastAsia="ru-RU"/>
              </w:rPr>
              <w:t>01@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A75641">
      <w:pPr>
        <w:shd w:val="clear" w:color="auto" w:fill="FFFFFF"/>
        <w:suppressAutoHyphens w:val="0"/>
        <w:spacing w:before="100" w:beforeAutospacing="1" w:after="240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- повышение темпов развития малого и среднего предпринимательства как одного из факторов социально-экономического развития </w:t>
            </w:r>
            <w:r w:rsidR="00FB4345" w:rsidRPr="00FB4345">
              <w:rPr>
                <w:spacing w:val="-5"/>
                <w:sz w:val="24"/>
                <w:szCs w:val="26"/>
                <w:lang w:eastAsia="ru-RU"/>
              </w:rPr>
              <w:t xml:space="preserve">МО </w:t>
            </w:r>
            <w:proofErr w:type="spellStart"/>
            <w:r w:rsidR="00FB4345" w:rsidRPr="00FB4345">
              <w:rPr>
                <w:spacing w:val="-5"/>
                <w:sz w:val="24"/>
                <w:szCs w:val="26"/>
                <w:lang w:eastAsia="ru-RU"/>
              </w:rPr>
              <w:t>Натырбовское</w:t>
            </w:r>
            <w:proofErr w:type="spellEnd"/>
            <w:r w:rsidR="00FB4345" w:rsidRPr="00FB4345">
              <w:rPr>
                <w:spacing w:val="-5"/>
                <w:sz w:val="24"/>
                <w:szCs w:val="26"/>
                <w:lang w:eastAsia="ru-RU"/>
              </w:rPr>
              <w:t xml:space="preserve"> </w:t>
            </w:r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 сельско</w:t>
            </w:r>
            <w:r w:rsidR="00FB4345">
              <w:rPr>
                <w:spacing w:val="-5"/>
                <w:sz w:val="24"/>
                <w:szCs w:val="26"/>
                <w:lang w:eastAsia="ru-RU"/>
              </w:rPr>
              <w:t>е</w:t>
            </w:r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 поселени</w:t>
            </w:r>
            <w:r w:rsidR="00FB4345">
              <w:rPr>
                <w:spacing w:val="-5"/>
                <w:sz w:val="24"/>
                <w:szCs w:val="26"/>
                <w:lang w:eastAsia="ru-RU"/>
              </w:rPr>
              <w:t>е</w:t>
            </w:r>
            <w:r w:rsidRPr="00D854C3">
              <w:rPr>
                <w:spacing w:val="-5"/>
                <w:sz w:val="24"/>
                <w:szCs w:val="26"/>
                <w:lang w:eastAsia="ru-RU"/>
              </w:rPr>
              <w:t>;</w:t>
            </w:r>
          </w:p>
          <w:p w:rsidR="00D854C3" w:rsidRPr="00D854C3" w:rsidRDefault="00D854C3" w:rsidP="00D854C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6"/>
                <w:lang w:eastAsia="ru-RU"/>
              </w:rPr>
            </w:pPr>
            <w:r w:rsidRPr="00D854C3">
              <w:rPr>
                <w:sz w:val="24"/>
                <w:szCs w:val="26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lastRenderedPageBreak/>
              <w:t>повышение социальной эффективности деятельности субъектов малого и среднего предпринимательства</w:t>
            </w:r>
            <w:r w:rsidRPr="00D854C3">
              <w:rPr>
                <w:b/>
                <w:bCs/>
                <w:spacing w:val="-5"/>
                <w:sz w:val="24"/>
                <w:szCs w:val="26"/>
                <w:lang w:eastAsia="ru-RU"/>
              </w:rPr>
              <w:t>.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DF4787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C6F02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2C6F02">
              <w:rPr>
                <w:sz w:val="26"/>
                <w:szCs w:val="26"/>
                <w:lang w:eastAsia="ru-RU"/>
              </w:rPr>
              <w:t xml:space="preserve"> </w:t>
            </w:r>
            <w:r w:rsidR="00DF4787">
              <w:rPr>
                <w:rFonts w:ascii="Georgia" w:hAnsi="Georgia"/>
                <w:sz w:val="26"/>
                <w:szCs w:val="26"/>
                <w:lang w:eastAsia="ru-RU"/>
              </w:rPr>
              <w:t>Бюджетный кодекс Российской Федерации, Федерального закона от 28.06.2014г. №172-ФЗ «О стратегическом планировании в Российской Федерации»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20313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20313F"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FB4345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45D94" w:rsidRDefault="00D854C3" w:rsidP="00DF4787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C45D94">
              <w:rPr>
                <w:sz w:val="26"/>
                <w:szCs w:val="26"/>
                <w:lang w:eastAsia="ru-RU"/>
              </w:rPr>
              <w:t>2.6. Краткий ана</w:t>
            </w:r>
            <w:r w:rsidR="00C45D94" w:rsidRPr="00C45D94">
              <w:rPr>
                <w:sz w:val="26"/>
                <w:szCs w:val="26"/>
                <w:lang w:eastAsia="ru-RU"/>
              </w:rPr>
              <w:t>лиз регулирования муниципальным образованием</w:t>
            </w:r>
            <w:r w:rsidRPr="00C45D94">
              <w:rPr>
                <w:sz w:val="26"/>
                <w:szCs w:val="26"/>
                <w:lang w:eastAsia="ru-RU"/>
              </w:rPr>
              <w:t xml:space="preserve"> в соответствующих сферах деятельности:</w:t>
            </w:r>
            <w:r w:rsidR="00055628" w:rsidRPr="00C45D9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F4787" w:rsidRPr="00C45D94">
              <w:rPr>
                <w:sz w:val="24"/>
                <w:szCs w:val="24"/>
                <w:lang w:eastAsia="ru-RU"/>
              </w:rPr>
              <w:t>Порядок формирования, ведения и обязательного опубликования перечня муниципального имущества муниципального образования,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определяет процедуру формирования, ведения и обязательного опубликования перечня муниципального имущества муниципального образования "</w:t>
            </w:r>
            <w:proofErr w:type="spellStart"/>
            <w:r w:rsidR="00FB4345">
              <w:rPr>
                <w:sz w:val="24"/>
                <w:szCs w:val="24"/>
                <w:lang w:eastAsia="ru-RU"/>
              </w:rPr>
              <w:t>Натырбовское</w:t>
            </w:r>
            <w:proofErr w:type="spellEnd"/>
            <w:r w:rsidR="00DF4787" w:rsidRPr="00C45D94">
              <w:rPr>
                <w:sz w:val="24"/>
                <w:szCs w:val="24"/>
                <w:lang w:eastAsia="ru-RU"/>
              </w:rPr>
              <w:t xml:space="preserve">   сельское поселение", свободного от</w:t>
            </w:r>
            <w:proofErr w:type="gramEnd"/>
            <w:r w:rsidR="00DF4787" w:rsidRPr="00C45D94">
              <w:rPr>
                <w:sz w:val="24"/>
                <w:szCs w:val="24"/>
                <w:lang w:eastAsia="ru-RU"/>
              </w:rPr>
              <w:t xml:space="preserve">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пользование, и (или)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854C3" w:rsidRPr="00C45D94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proofErr w:type="spellStart"/>
      <w:r w:rsidR="00FB4345">
        <w:rPr>
          <w:b/>
          <w:sz w:val="26"/>
          <w:szCs w:val="26"/>
          <w:lang w:eastAsia="ru-RU"/>
        </w:rPr>
        <w:t>Натырбовского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FB4345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FB4345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proofErr w:type="spellStart"/>
            <w:r w:rsidR="00FB4345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lastRenderedPageBreak/>
        <w:t xml:space="preserve">бюджета </w:t>
      </w:r>
      <w:r w:rsidR="009C7FF8">
        <w:rPr>
          <w:b/>
          <w:sz w:val="26"/>
          <w:szCs w:val="26"/>
          <w:lang w:eastAsia="ru-RU"/>
        </w:rPr>
        <w:t>МО «</w:t>
      </w:r>
      <w:proofErr w:type="spellStart"/>
      <w:r w:rsidR="009C7FF8">
        <w:rPr>
          <w:b/>
          <w:sz w:val="26"/>
          <w:szCs w:val="26"/>
          <w:lang w:eastAsia="ru-RU"/>
        </w:rPr>
        <w:t>Натырбовское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</w:t>
      </w:r>
      <w:r w:rsidR="009C7FF8">
        <w:rPr>
          <w:b/>
          <w:sz w:val="26"/>
          <w:szCs w:val="26"/>
          <w:lang w:eastAsia="ru-RU"/>
        </w:rPr>
        <w:t>е</w:t>
      </w:r>
      <w:r w:rsidRPr="003F0D81">
        <w:rPr>
          <w:b/>
          <w:sz w:val="26"/>
          <w:szCs w:val="26"/>
          <w:lang w:eastAsia="ru-RU"/>
        </w:rPr>
        <w:t xml:space="preserve"> поселени</w:t>
      </w:r>
      <w:r w:rsidR="009C7FF8">
        <w:rPr>
          <w:b/>
          <w:sz w:val="26"/>
          <w:szCs w:val="26"/>
          <w:lang w:eastAsia="ru-RU"/>
        </w:rPr>
        <w:t>е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  <w:r w:rsidRPr="003F0D81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4.2. Описание видов расходов бюджета </w:t>
            </w:r>
            <w:proofErr w:type="spellStart"/>
            <w:r w:rsidR="00FB4345">
              <w:rPr>
                <w:sz w:val="26"/>
                <w:szCs w:val="26"/>
                <w:lang w:eastAsia="ru-RU"/>
              </w:rPr>
              <w:t>Натырбовского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4.3. Количественная оценка расходов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FB4345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FB4345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030A93"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4.4.2. Единовременные расходы </w:t>
            </w:r>
            <w:r w:rsidR="00D854C3"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Индивидуальные предприниматели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6.2. Описание содержания существующих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Default="00D854C3" w:rsidP="00D854C3">
      <w:pPr>
        <w:spacing w:line="480" w:lineRule="auto"/>
        <w:rPr>
          <w:b/>
        </w:rPr>
      </w:pPr>
      <w:r w:rsidRPr="00D854C3">
        <w:rPr>
          <w:b/>
        </w:rPr>
        <w:t xml:space="preserve">Глава </w:t>
      </w:r>
      <w:r>
        <w:rPr>
          <w:b/>
        </w:rPr>
        <w:t>администрации</w:t>
      </w:r>
    </w:p>
    <w:p w:rsidR="00D854C3" w:rsidRPr="00030A93" w:rsidRDefault="00D854C3" w:rsidP="00030A93">
      <w:pPr>
        <w:spacing w:line="480" w:lineRule="auto"/>
        <w:rPr>
          <w:b/>
        </w:rPr>
      </w:pPr>
      <w:r w:rsidRPr="00D854C3">
        <w:rPr>
          <w:b/>
        </w:rPr>
        <w:t>МО «</w:t>
      </w:r>
      <w:proofErr w:type="spellStart"/>
      <w:r w:rsidR="00FB4345">
        <w:rPr>
          <w:b/>
        </w:rPr>
        <w:t>Натырбовское</w:t>
      </w:r>
      <w:proofErr w:type="spellEnd"/>
      <w:r w:rsidRPr="00D854C3">
        <w:rPr>
          <w:b/>
        </w:rPr>
        <w:t xml:space="preserve"> сельское поселение»                               </w:t>
      </w:r>
      <w:r w:rsidR="00562476">
        <w:rPr>
          <w:b/>
        </w:rPr>
        <w:t>Н.В. Касицына</w:t>
      </w: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925BF7" w:rsidRDefault="00925BF7"/>
    <w:sectPr w:rsidR="00925BF7" w:rsidSect="0080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1E9"/>
    <w:rsid w:val="00030A93"/>
    <w:rsid w:val="00055628"/>
    <w:rsid w:val="000705C0"/>
    <w:rsid w:val="000B0F54"/>
    <w:rsid w:val="001F760B"/>
    <w:rsid w:val="0020313F"/>
    <w:rsid w:val="002C6F02"/>
    <w:rsid w:val="00436A66"/>
    <w:rsid w:val="004B2D61"/>
    <w:rsid w:val="004D0BCE"/>
    <w:rsid w:val="004E7DAB"/>
    <w:rsid w:val="00562476"/>
    <w:rsid w:val="006133B3"/>
    <w:rsid w:val="00807598"/>
    <w:rsid w:val="00842BC8"/>
    <w:rsid w:val="009111E9"/>
    <w:rsid w:val="00925BF7"/>
    <w:rsid w:val="00933A87"/>
    <w:rsid w:val="00990CEE"/>
    <w:rsid w:val="009C7FF8"/>
    <w:rsid w:val="00A75641"/>
    <w:rsid w:val="00AB432C"/>
    <w:rsid w:val="00C45D94"/>
    <w:rsid w:val="00D854C3"/>
    <w:rsid w:val="00DF4787"/>
    <w:rsid w:val="00EE0743"/>
    <w:rsid w:val="00FB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14</cp:revision>
  <cp:lastPrinted>2019-02-07T06:02:00Z</cp:lastPrinted>
  <dcterms:created xsi:type="dcterms:W3CDTF">2019-01-24T09:09:00Z</dcterms:created>
  <dcterms:modified xsi:type="dcterms:W3CDTF">2019-06-04T09:28:00Z</dcterms:modified>
</cp:coreProperties>
</file>