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</w:t>
      </w:r>
      <w:r w:rsidR="0026114D">
        <w:rPr>
          <w:b/>
          <w:sz w:val="22"/>
          <w:szCs w:val="22"/>
        </w:rPr>
        <w:t>проект</w:t>
      </w:r>
      <w:r w:rsidR="00052E7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114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8A6823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</w:t>
      </w:r>
      <w:r w:rsidR="008A6823">
        <w:rPr>
          <w:sz w:val="22"/>
          <w:szCs w:val="22"/>
          <w:u w:val="single"/>
        </w:rPr>
        <w:t>1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26114D">
        <w:rPr>
          <w:sz w:val="22"/>
          <w:szCs w:val="22"/>
          <w:u w:val="single"/>
        </w:rPr>
        <w:t xml:space="preserve"> 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A6823">
        <w:rPr>
          <w:b/>
        </w:rPr>
        <w:t>2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B44858">
        <w:rPr>
          <w:sz w:val="20"/>
          <w:szCs w:val="20"/>
        </w:rPr>
        <w:t xml:space="preserve">В соответствии с Указом Президента РФ от </w:t>
      </w:r>
      <w:r w:rsidR="008A6823">
        <w:rPr>
          <w:sz w:val="20"/>
          <w:szCs w:val="20"/>
        </w:rPr>
        <w:t>28.12.2018г. № 2665</w:t>
      </w:r>
      <w:r w:rsidR="0026114D" w:rsidRPr="00B44858">
        <w:rPr>
          <w:sz w:val="20"/>
          <w:szCs w:val="20"/>
        </w:rPr>
        <w:t xml:space="preserve"> «</w:t>
      </w:r>
      <w:r w:rsidR="0026114D" w:rsidRPr="00B44858">
        <w:rPr>
          <w:sz w:val="20"/>
          <w:szCs w:val="20"/>
          <w:shd w:val="clear" w:color="auto" w:fill="FFFFFF"/>
        </w:rPr>
        <w:t>О</w:t>
      </w:r>
      <w:r w:rsidR="008A6823">
        <w:rPr>
          <w:sz w:val="20"/>
          <w:szCs w:val="20"/>
          <w:shd w:val="clear" w:color="auto" w:fill="FFFFFF"/>
        </w:rPr>
        <w:t>б</w:t>
      </w:r>
      <w:r w:rsidR="0026114D" w:rsidRPr="00B44858">
        <w:rPr>
          <w:sz w:val="20"/>
          <w:szCs w:val="20"/>
          <w:shd w:val="clear" w:color="auto" w:fill="FFFFFF"/>
        </w:rPr>
        <w:t xml:space="preserve"> </w:t>
      </w:r>
      <w:r w:rsidR="008A6823">
        <w:rPr>
          <w:sz w:val="20"/>
          <w:szCs w:val="20"/>
          <w:shd w:val="clear" w:color="auto" w:fill="FFFFFF"/>
        </w:rPr>
        <w:t>утверждении Комплексного плана противодействия идеологии терроризма в</w:t>
      </w:r>
      <w:r w:rsidR="0026114D" w:rsidRPr="00B44858">
        <w:rPr>
          <w:sz w:val="20"/>
          <w:szCs w:val="20"/>
          <w:shd w:val="clear" w:color="auto" w:fill="FFFFFF"/>
        </w:rPr>
        <w:t>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 xml:space="preserve"> на </w:t>
      </w:r>
      <w:r w:rsidR="008A6823">
        <w:rPr>
          <w:sz w:val="20"/>
          <w:szCs w:val="20"/>
          <w:shd w:val="clear" w:color="auto" w:fill="FFFFFF"/>
        </w:rPr>
        <w:t>2019-</w:t>
      </w:r>
      <w:r w:rsidR="0026114D" w:rsidRPr="00B44858">
        <w:rPr>
          <w:sz w:val="20"/>
          <w:szCs w:val="20"/>
          <w:shd w:val="clear" w:color="auto" w:fill="FFFFFF"/>
        </w:rPr>
        <w:t xml:space="preserve"> 202</w:t>
      </w:r>
      <w:r w:rsidR="008A6823">
        <w:rPr>
          <w:sz w:val="20"/>
          <w:szCs w:val="20"/>
          <w:shd w:val="clear" w:color="auto" w:fill="FFFFFF"/>
        </w:rPr>
        <w:t>3</w:t>
      </w:r>
      <w:r w:rsidR="0026114D" w:rsidRPr="00B44858">
        <w:rPr>
          <w:sz w:val="20"/>
          <w:szCs w:val="20"/>
          <w:shd w:val="clear" w:color="auto" w:fill="FFFFFF"/>
        </w:rPr>
        <w:t xml:space="preserve"> год</w:t>
      </w:r>
      <w:r w:rsidR="008A6823">
        <w:rPr>
          <w:sz w:val="20"/>
          <w:szCs w:val="20"/>
          <w:shd w:val="clear" w:color="auto" w:fill="FFFFFF"/>
        </w:rPr>
        <w:t>ы</w:t>
      </w:r>
      <w:r w:rsidR="0026114D" w:rsidRPr="00B44858">
        <w:rPr>
          <w:sz w:val="20"/>
          <w:szCs w:val="20"/>
          <w:shd w:val="clear" w:color="auto" w:fill="FFFFFF"/>
        </w:rPr>
        <w:t>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9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 Федерации</w:t>
      </w:r>
      <w:proofErr w:type="gramEnd"/>
      <w:r w:rsidR="0026114D" w:rsidRPr="00B44858">
        <w:rPr>
          <w:sz w:val="20"/>
          <w:szCs w:val="20"/>
        </w:rPr>
        <w:t>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8A6823">
        <w:t>2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8A6823" w:rsidRPr="00A406D6" w:rsidRDefault="008A6823" w:rsidP="008A6823">
      <w:r w:rsidRPr="00A406D6">
        <w:t>И.о. главы муниципального образования</w:t>
      </w:r>
    </w:p>
    <w:p w:rsidR="008A6823" w:rsidRPr="00A406D6" w:rsidRDefault="008A6823" w:rsidP="008A6823">
      <w:r w:rsidRPr="00A406D6">
        <w:t>«</w:t>
      </w:r>
      <w:proofErr w:type="spellStart"/>
      <w:r w:rsidRPr="00A406D6">
        <w:t>Натырбовское</w:t>
      </w:r>
      <w:proofErr w:type="spellEnd"/>
      <w:r w:rsidRPr="00A406D6">
        <w:t xml:space="preserve"> сельское поселение»                                                     Е.В.Морозова</w:t>
      </w:r>
    </w:p>
    <w:p w:rsidR="00C72175" w:rsidRDefault="00C72175"/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 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8A6823">
        <w:rPr>
          <w:sz w:val="20"/>
          <w:szCs w:val="20"/>
          <w:u w:val="single"/>
        </w:rPr>
        <w:t>ноября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8A6823">
        <w:rPr>
          <w:sz w:val="20"/>
          <w:szCs w:val="20"/>
          <w:u w:val="single"/>
        </w:rPr>
        <w:t>1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8A68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A6823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8A6823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A6823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8A6823">
              <w:rPr>
                <w:lang w:eastAsia="en-US"/>
              </w:rPr>
              <w:t>ноября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8A682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lastRenderedPageBreak/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A6823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8A682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 xml:space="preserve"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</w:t>
      </w:r>
      <w:r w:rsidRPr="00635E82">
        <w:lastRenderedPageBreak/>
        <w:t>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A6823">
        <w:t>2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lastRenderedPageBreak/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</w:t>
            </w:r>
            <w:r w:rsidRPr="00746AB3">
              <w:lastRenderedPageBreak/>
              <w:t>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 xml:space="preserve">Заместитель Главы </w:t>
            </w:r>
            <w:r>
              <w:lastRenderedPageBreak/>
              <w:t>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 xml:space="preserve">Без </w:t>
            </w:r>
            <w:r>
              <w:lastRenderedPageBreak/>
              <w:t>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</w:t>
            </w:r>
            <w:r w:rsidRPr="00CA5571">
              <w:lastRenderedPageBreak/>
              <w:t xml:space="preserve">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lastRenderedPageBreak/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lastRenderedPageBreak/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 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</w:t>
            </w:r>
            <w:r w:rsidRPr="002349E6">
              <w:rPr>
                <w:rStyle w:val="ae"/>
                <w:b w:val="0"/>
              </w:rPr>
              <w:lastRenderedPageBreak/>
              <w:t>российских духовно-нравственных ценностей с привлечением к 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>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lastRenderedPageBreak/>
              <w:t>VI.  Меры по формированию у населения муниципального образования «</w:t>
            </w:r>
            <w:proofErr w:type="spellStart"/>
            <w:r w:rsidRPr="002349E6">
              <w:rPr>
                <w:rStyle w:val="ae"/>
              </w:rPr>
              <w:t>Натырбовское</w:t>
            </w:r>
            <w:proofErr w:type="spellEnd"/>
            <w:r w:rsidRPr="002349E6">
              <w:rPr>
                <w:rStyle w:val="ae"/>
              </w:rPr>
              <w:t xml:space="preserve"> сельское поселение»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 xml:space="preserve"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</w:t>
            </w:r>
            <w:r w:rsidRPr="002349E6">
              <w:rPr>
                <w:rStyle w:val="ae"/>
                <w:b w:val="0"/>
              </w:rPr>
              <w:lastRenderedPageBreak/>
              <w:t>культуры и искусства), воспитательные и культурно-просветительские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  <w:p w:rsidR="002349E6" w:rsidRPr="002349E6" w:rsidRDefault="002349E6" w:rsidP="00BB471E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4507CF" w:rsidRPr="002349E6" w:rsidRDefault="004507CF" w:rsidP="00215670">
      <w:pPr>
        <w:jc w:val="right"/>
        <w:rPr>
          <w:rStyle w:val="ae"/>
          <w:b w:val="0"/>
        </w:rPr>
      </w:pPr>
    </w:p>
    <w:sectPr w:rsidR="004507CF" w:rsidRPr="002349E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66" w:rsidRDefault="000D1A66" w:rsidP="00121753">
      <w:r>
        <w:separator/>
      </w:r>
    </w:p>
  </w:endnote>
  <w:endnote w:type="continuationSeparator" w:id="0">
    <w:p w:rsidR="000D1A66" w:rsidRDefault="000D1A6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66" w:rsidRDefault="000D1A66" w:rsidP="00121753">
      <w:r>
        <w:separator/>
      </w:r>
    </w:p>
  </w:footnote>
  <w:footnote w:type="continuationSeparator" w:id="0">
    <w:p w:rsidR="000D1A66" w:rsidRDefault="000D1A6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620A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1A66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FF7-3EB3-4D17-A56E-FDF59A72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2021-11-26T12:46:00Z</cp:lastPrinted>
  <dcterms:created xsi:type="dcterms:W3CDTF">2018-12-21T13:12:00Z</dcterms:created>
  <dcterms:modified xsi:type="dcterms:W3CDTF">2021-11-26T12:46:00Z</dcterms:modified>
</cp:coreProperties>
</file>